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 w:val="false"/>
          <w:bCs w:val="false"/>
        </w:rPr>
        <w:t xml:space="preserve">Пользовательское соглашение</w:t>
      </w:r>
    </w:p>
    <w:p>
      <w:pPr>
        <w:spacing w:after="120"/>
      </w:pPr>
      <w:r>
        <w:rPr>
          <w:b w:val="false"/>
          <w:bCs w:val="false"/>
        </w:rPr>
        <w:t xml:space="preserve"/>
      </w:r>
      <w:r>
        <w:rPr>
          <w:b/>
          <w:bCs/>
        </w:rPr>
        <w:t xml:space="preserve">ООО «ПОЛИТ ЛАБА»</w:t>
      </w:r>
      <w:r>
        <w:rPr>
          <w:b w:val="false"/>
          <w:bCs w:val="false"/>
        </w:rPr>
        <w:t xml:space="preserve"/>
      </w:r>
    </w:p>
    <w:p>
      <w:pPr>
        <w:pBdr>
          <w:top w:val="single" w:color="CCCCCC" w:sz="4" w:space="8"/>
        </w:pBdr>
        <w:spacing w:before="300"/>
      </w:pPr>
      <w:r>
        <w:rPr>
          <w:color w:val="666666"/>
          <w:sz w:val="18"/>
          <w:szCs w:val="18"/>
        </w:rPr>
        <w:t xml:space="preserve">Версия 1.1 от 2026-06-09  ·  ИНН 7000034683  ·  ОГРН 1267000002884</w:t>
      </w:r>
    </w:p>
    <w:p>
      <w:pPr>
        <w:pBdr>
          <w:left w:val="single" w:color="F0A500" w:sz="18" w:space="12"/>
        </w:pBdr>
        <w:spacing w:after="160"/>
      </w:pPr>
      <w:r>
        <w:rPr>
          <w:b w:val="false"/>
          <w:bCs w:val="false"/>
        </w:rPr>
        <w:t xml:space="preserve">Настоящее Пользовательское соглашение (далее — «Соглашение») регулирует отношения между ООО «ПОЛИТ ЛАБА» (далее — «Администрация») и физическим или юридическим лицом (далее — «Пользователь»), использующим сервис politlaba.ru (далее — «Сервис»).</w:t>
      </w:r>
    </w:p>
    <w:p>
      <w:pPr>
        <w:pStyle w:val="Heading2"/>
      </w:pPr>
      <w:r>
        <w:rPr>
          <w:b w:val="false"/>
          <w:bCs w:val="false"/>
        </w:rPr>
        <w:t xml:space="preserve">1. Общие положения</w:t>
      </w:r>
    </w:p>
    <w:p>
      <w:pPr>
        <w:spacing w:after="120"/>
      </w:pPr>
      <w:r>
        <w:rPr>
          <w:b w:val="false"/>
          <w:bCs w:val="false"/>
        </w:rPr>
        <w:t xml:space="preserve">1.1. Сервис представляет собой программно-аппаратный комплекс, предоставляющий инструменты для работы с избирательными округами, картографической информацией, метками, организациями и участниками в рамках публичной и политической деятельности.</w:t>
      </w:r>
    </w:p>
    <w:p>
      <w:pPr>
        <w:spacing w:after="120"/>
      </w:pPr>
      <w:r>
        <w:rPr>
          <w:b w:val="false"/>
          <w:bCs w:val="false"/>
        </w:rPr>
        <w:t xml:space="preserve">1.2. Регистрация и использование Сервиса означает полное и безоговорочное согласие Пользователя с условиями настоящего Соглашения, а также с Политикой обработки персональных данных и Офертой.</w:t>
      </w:r>
    </w:p>
    <w:p>
      <w:pPr>
        <w:spacing w:after="120"/>
      </w:pPr>
      <w:r>
        <w:rPr>
          <w:b w:val="false"/>
          <w:bCs w:val="false"/>
        </w:rPr>
        <w:t xml:space="preserve">1.3. Если Пользователь не согласен с условиями, он должен прекратить использование Сервиса и удалить свою учётную запись.</w:t>
      </w:r>
    </w:p>
    <w:p>
      <w:pPr>
        <w:pStyle w:val="Heading2"/>
      </w:pPr>
      <w:r>
        <w:rPr>
          <w:b w:val="false"/>
          <w:bCs w:val="false"/>
        </w:rPr>
        <w:t xml:space="preserve">2. Регистрация и учётная запись</w:t>
      </w:r>
    </w:p>
    <w:p>
      <w:pPr>
        <w:spacing w:after="120"/>
      </w:pPr>
      <w:r>
        <w:rPr>
          <w:b w:val="false"/>
          <w:bCs w:val="false"/>
        </w:rPr>
        <w:t xml:space="preserve">2.1. Регистрация осуществляется путём указания номера мобильного телефона и его подтверждения через SMS-код.</w:t>
      </w:r>
    </w:p>
    <w:p>
      <w:pPr>
        <w:spacing w:after="120"/>
      </w:pPr>
      <w:r>
        <w:rPr>
          <w:b w:val="false"/>
          <w:bCs w:val="false"/>
        </w:rPr>
        <w:t xml:space="preserve">2.2. При регистрации Пользователь подтверждает, что является дееспособным лицом, достигшим возраста 18 лет.</w:t>
      </w:r>
    </w:p>
    <w:p>
      <w:pPr>
        <w:spacing w:after="120"/>
      </w:pPr>
      <w:r>
        <w:rPr>
          <w:b w:val="false"/>
          <w:bCs w:val="false"/>
        </w:rPr>
        <w:t xml:space="preserve">2.3. Пользователь обязуется указывать достоверные данные и поддерживать их актуальность.</w:t>
      </w:r>
    </w:p>
    <w:p>
      <w:pPr>
        <w:spacing w:after="120"/>
      </w:pPr>
      <w:r>
        <w:rPr>
          <w:b w:val="false"/>
          <w:bCs w:val="false"/>
        </w:rPr>
        <w:t xml:space="preserve">2.4. Пользователь несёт ответственность за сохранность пароля и доступ к учётной записи. О любом несанкционированном доступе следует немедленно сообщить по адресу support@politlaba.ru.</w:t>
      </w:r>
    </w:p>
    <w:p>
      <w:pPr>
        <w:pStyle w:val="Heading2"/>
      </w:pPr>
      <w:r>
        <w:rPr>
          <w:b w:val="false"/>
          <w:bCs w:val="false"/>
        </w:rPr>
        <w:t xml:space="preserve">3. Функциональные возможности</w:t>
      </w:r>
    </w:p>
    <w:p>
      <w:pPr>
        <w:spacing w:after="120"/>
      </w:pPr>
      <w:r>
        <w:rPr>
          <w:b w:val="false"/>
          <w:bCs w:val="false"/>
        </w:rPr>
        <w:t xml:space="preserve">3.1. Сервис предоставляет Пользователю функционал в соответствии с выбранным тарифным планом (см. Оферту).</w:t>
      </w:r>
    </w:p>
    <w:p>
      <w:pPr>
        <w:spacing w:after="120"/>
      </w:pPr>
      <w:r>
        <w:rPr>
          <w:b w:val="false"/>
          <w:bCs w:val="false"/>
        </w:rPr>
        <w:t xml:space="preserve">3.2. В числе функциональных возможностей: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Просмотр интерактивной карты избирательных округов всех уровней;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Инспектор зданий с информацией о территориальной принадлежности;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Создание меток на карте с настраиваемыми типами и статусами;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Создание юнитов — групп участников, вступающих по QR-коду, ссылке или из кабинета с подтверждением номера по SMS;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Создание организаций, управление членами и распределение ролей;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Лента активности и трансляция меток внутри команды.</w:t>
      </w:r>
    </w:p>
    <w:p>
      <w:pPr>
        <w:pStyle w:val="Heading2"/>
      </w:pPr>
      <w:r>
        <w:rPr>
          <w:b w:val="false"/>
          <w:bCs w:val="false"/>
        </w:rPr>
        <w:t xml:space="preserve">4. Правила использования</w:t>
      </w:r>
    </w:p>
    <w:p>
      <w:pPr>
        <w:spacing w:after="120"/>
      </w:pPr>
      <w:r>
        <w:rPr>
          <w:b w:val="false"/>
          <w:bCs w:val="false"/>
        </w:rPr>
        <w:t xml:space="preserve">4.1. Пользователю запрещается: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Использовать Сервис в целях, противоречащих законодательству Российской Федерации;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Собирать персональные данные третьих лиц без их согласия;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Распространять оскорбительный, экстремистский, противоправный контент;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Нарушать работоспособность Сервиса, осуществлять попытки взлома, перебора паролей, автоматизированных запросов;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Использовать Сервис для рассылки спама и несанкционированных коммуникаций;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Передавать свою учётную запись третьим лицам;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Использовать данные Сервиса для целей, не связанных с заявленной публичной или политической деятельностью.</w:t>
      </w:r>
    </w:p>
    <w:p>
      <w:pPr>
        <w:spacing w:after="120"/>
      </w:pPr>
      <w:r>
        <w:rPr>
          <w:b w:val="false"/>
          <w:bCs w:val="false"/>
        </w:rPr>
        <w:t xml:space="preserve">4.2. Пользователь, использующий Сервис в избирательной кампании, обязан соблюдать требования избирательного законодательства РФ.</w:t>
      </w:r>
    </w:p>
    <w:p>
      <w:pPr>
        <w:pStyle w:val="Heading2"/>
      </w:pPr>
      <w:r>
        <w:rPr>
          <w:b w:val="false"/>
          <w:bCs w:val="false"/>
        </w:rPr>
        <w:t xml:space="preserve">5. Данные аккаунта и видимость в юнитах</w:t>
      </w:r>
    </w:p>
    <w:p>
      <w:pPr>
        <w:spacing w:after="120"/>
      </w:pPr>
      <w:r>
        <w:rPr>
          <w:b w:val="false"/>
          <w:bCs w:val="false"/>
        </w:rPr>
        <w:t xml:space="preserve">5.1. Данные аккаунта Пользователя (имя, фамилия, дата рождения, телефон, при необходимости email) являются данными его профиля в Сервисе. Оператором этих данных выступает Администрация — на основании согласия, которое Пользователь даёт при регистрации.</w:t>
      </w:r>
    </w:p>
    <w:p>
      <w:pPr>
        <w:spacing w:after="120"/>
      </w:pPr>
      <w:r>
        <w:rPr>
          <w:b w:val="false"/>
          <w:bCs w:val="false"/>
        </w:rPr>
        <w:t xml:space="preserve">5.2. Вступление в юнит организатора означает, что Пользователь делает данные своего аккаунта </w:t>
      </w:r>
      <w:r>
        <w:rPr>
          <w:b/>
          <w:bCs/>
        </w:rPr>
        <w:t xml:space="preserve">видимыми этому организатору</w:t>
      </w:r>
      <w:r>
        <w:rPr>
          <w:b w:val="false"/>
          <w:bCs w:val="false"/>
        </w:rPr>
        <w:t xml:space="preserve"> в рамках Сервиса. Это управление видимостью своих данных, а не передача их стороннему оператору. Пользователь может в любой момент прекратить эту видимость, выйдя из юнита в панели юнитов.</w:t>
      </w:r>
    </w:p>
    <w:p>
      <w:pPr>
        <w:spacing w:after="120"/>
      </w:pPr>
      <w:r>
        <w:rPr>
          <w:b w:val="false"/>
          <w:bCs w:val="false"/>
        </w:rPr>
        <w:t xml:space="preserve">5.3. Организатор юнита обязан использовать ставшие ему видимыми данные участников добросовестно, исключительно в целях, заявленных при создании юнита, соблюдать применимое законодательство (включая избирательное) и не передавать эти данные третьим лицам без правового основания.</w:t>
      </w:r>
    </w:p>
    <w:p>
      <w:pPr>
        <w:spacing w:after="120"/>
      </w:pPr>
      <w:r>
        <w:rPr>
          <w:b w:val="false"/>
          <w:bCs w:val="false"/>
        </w:rPr>
        <w:t xml:space="preserve">5.4. Сервис фиксирует факт согласия Пользователя (подтверждение номера телефона по SMS) и факт вступления в юнит и выхода из него.</w:t>
      </w:r>
    </w:p>
    <w:p>
      <w:pPr>
        <w:pStyle w:val="Heading2"/>
      </w:pPr>
      <w:r>
        <w:rPr>
          <w:b w:val="false"/>
          <w:bCs w:val="false"/>
        </w:rPr>
        <w:t xml:space="preserve">6. Интеллектуальная собственность</w:t>
      </w:r>
    </w:p>
    <w:p>
      <w:pPr>
        <w:spacing w:after="120"/>
      </w:pPr>
      <w:r>
        <w:rPr>
          <w:b w:val="false"/>
          <w:bCs w:val="false"/>
        </w:rPr>
        <w:t xml:space="preserve">6.1. Все права на Сервис, его программный код, дизайн, тексты, графические элементы принадлежат Администрации.</w:t>
      </w:r>
    </w:p>
    <w:p>
      <w:pPr>
        <w:spacing w:after="120"/>
      </w:pPr>
      <w:r>
        <w:rPr>
          <w:b w:val="false"/>
          <w:bCs w:val="false"/>
        </w:rPr>
        <w:t xml:space="preserve">6.2. Картографические данные предоставляются под лицензией Open Database License (ODbL), правообладатель — © OpenStreetMap contributors.</w:t>
      </w:r>
    </w:p>
    <w:p>
      <w:pPr>
        <w:spacing w:after="120"/>
      </w:pPr>
      <w:r>
        <w:rPr>
          <w:b w:val="false"/>
          <w:bCs w:val="false"/>
        </w:rPr>
        <w:t xml:space="preserve">6.3. Пользовательский контент (метки, юниты, организации, описания) остаётся собственностью Пользователя. Размещая контент в Сервисе, Пользователь предоставляет Администрации право использовать его в рамках работы Сервиса.</w:t>
      </w:r>
    </w:p>
    <w:p>
      <w:pPr>
        <w:pStyle w:val="Heading2"/>
      </w:pPr>
      <w:r>
        <w:rPr>
          <w:b w:val="false"/>
          <w:bCs w:val="false"/>
        </w:rPr>
        <w:t xml:space="preserve">7. Ответственность</w:t>
      </w:r>
    </w:p>
    <w:p>
      <w:pPr>
        <w:spacing w:after="120"/>
      </w:pPr>
      <w:r>
        <w:rPr>
          <w:b w:val="false"/>
          <w:bCs w:val="false"/>
        </w:rPr>
        <w:t xml:space="preserve">7.1. Сервис предоставляется на условиях «как есть». Администрация не гарантирует абсолютной доступности и работоспособности и не несёт ответственности за упущенную выгоду Пользователя.</w:t>
      </w:r>
    </w:p>
    <w:p>
      <w:pPr>
        <w:spacing w:after="120"/>
      </w:pPr>
      <w:r>
        <w:rPr>
          <w:b w:val="false"/>
          <w:bCs w:val="false"/>
        </w:rPr>
        <w:t xml:space="preserve">7.2. Администрация не несёт ответственности за действия Пользователя в отношении данных участников, ставших ему видимыми через юниты, и за соблюдение Пользователем избирательного и иного законодательства.</w:t>
      </w:r>
    </w:p>
    <w:p>
      <w:pPr>
        <w:spacing w:after="120"/>
      </w:pPr>
      <w:r>
        <w:rPr>
          <w:b w:val="false"/>
          <w:bCs w:val="false"/>
        </w:rPr>
        <w:t xml:space="preserve">7.3. Пользователь самостоятельно несёт ответственность за достоверность размещаемой информации.</w:t>
      </w:r>
    </w:p>
    <w:p>
      <w:pPr>
        <w:pStyle w:val="Heading2"/>
      </w:pPr>
      <w:r>
        <w:rPr>
          <w:b w:val="false"/>
          <w:bCs w:val="false"/>
        </w:rPr>
        <w:t xml:space="preserve">8. Блокировка и расторжение</w:t>
      </w:r>
    </w:p>
    <w:p>
      <w:pPr>
        <w:spacing w:after="120"/>
      </w:pPr>
      <w:r>
        <w:rPr>
          <w:b w:val="false"/>
          <w:bCs w:val="false"/>
        </w:rPr>
        <w:t xml:space="preserve">8.1. Администрация вправе заблокировать учётную запись Пользователя без предупреждения в случаях: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Нарушения настоящего Соглашения;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Получения от государственных органов запросов о незаконной деятельности;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 w:val="false"/>
          <w:bCs w:val="false"/>
        </w:rPr>
        <w:t xml:space="preserve">Признаков мошенничества или попыток компрометации Сервиса.</w:t>
      </w:r>
    </w:p>
    <w:p>
      <w:pPr>
        <w:spacing w:after="120"/>
      </w:pPr>
      <w:r>
        <w:rPr>
          <w:b w:val="false"/>
          <w:bCs w:val="false"/>
        </w:rPr>
        <w:t xml:space="preserve">8.2. Пользователь вправе в любой момент удалить свою учётную запись через интерфейс Сервиса или направив запрос на support@politlaba.ru.</w:t>
      </w:r>
    </w:p>
    <w:p>
      <w:pPr>
        <w:pStyle w:val="Heading2"/>
      </w:pPr>
      <w:r>
        <w:rPr>
          <w:b w:val="false"/>
          <w:bCs w:val="false"/>
        </w:rPr>
        <w:t xml:space="preserve">9. Изменения Соглашения</w:t>
      </w:r>
    </w:p>
    <w:p>
      <w:pPr>
        <w:spacing w:after="120"/>
      </w:pPr>
      <w:r>
        <w:rPr>
          <w:b w:val="false"/>
          <w:bCs w:val="false"/>
        </w:rPr>
        <w:t xml:space="preserve">9.1. Администрация вправе вносить изменения в Соглашение. Актуальная версия публикуется по адресу https://politlaba.ru/terms.</w:t>
      </w:r>
    </w:p>
    <w:p>
      <w:pPr>
        <w:spacing w:after="120"/>
      </w:pPr>
      <w:r>
        <w:rPr>
          <w:b w:val="false"/>
          <w:bCs w:val="false"/>
        </w:rPr>
        <w:t xml:space="preserve">9.2. Существенные изменения доводятся до Пользователей за 14 (четырнадцать) дней до вступления в силу путём уведомления на сайте или по электронной почте.</w:t>
      </w:r>
    </w:p>
    <w:p>
      <w:pPr>
        <w:pStyle w:val="Heading2"/>
      </w:pPr>
      <w:r>
        <w:rPr>
          <w:b w:val="false"/>
          <w:bCs w:val="false"/>
        </w:rPr>
        <w:t xml:space="preserve">10. Разрешение споров</w:t>
      </w:r>
    </w:p>
    <w:p>
      <w:pPr>
        <w:spacing w:after="120"/>
      </w:pPr>
      <w:r>
        <w:rPr>
          <w:b w:val="false"/>
          <w:bCs w:val="false"/>
        </w:rPr>
        <w:t xml:space="preserve">10.1. Все споры решаются путём переговоров. При невозможности достижения согласия — в судебном порядке по месту нахождения Администрации.</w:t>
      </w:r>
    </w:p>
    <w:p>
      <w:pPr>
        <w:spacing w:after="120"/>
      </w:pPr>
      <w:r>
        <w:rPr>
          <w:b w:val="false"/>
          <w:bCs w:val="false"/>
        </w:rPr>
        <w:t xml:space="preserve">10.2. К отношениям Сторон применяется законодательство Российской Федерации.</w:t>
      </w:r>
    </w:p>
    <w:p>
      <w:pPr>
        <w:pStyle w:val="Heading2"/>
      </w:pPr>
      <w:r>
        <w:rPr>
          <w:b w:val="false"/>
          <w:bCs w:val="false"/>
        </w:rPr>
        <w:t xml:space="preserve">11. Контакты</w:t>
      </w:r>
    </w:p>
    <w:p>
      <w:pPr>
        <w:spacing w:after="120"/>
      </w:pPr>
      <w:r>
        <w:rPr>
          <w:b w:val="false"/>
          <w:bCs w:val="false"/>
        </w:rPr>
        <w:t xml:space="preserve">Общество с ограниченной ответственностью «ПОЛИТ ЛАБА»</w:t>
      </w:r>
      <w:r>
        <w:br/>
        <w:t xml:space="preserve">ИНН 7000034683 · ОГРН 1267000002884</w:t>
      </w:r>
      <w:r>
        <w:br/>
        <w:t xml:space="preserve">Юридический адрес: 634021, г. Томск, ул. Сибирская, д. 102/1, кв. 206</w:t>
      </w:r>
      <w:r>
        <w:br/>
        <w:t xml:space="preserve">Email: support@politlaba.ru</w:t>
      </w:r>
    </w:p>
    <w:p>
      <w:pPr>
        <w:pBdr>
          <w:top w:val="single" w:color="CCCCCC" w:sz="4" w:space="8"/>
        </w:pBdr>
        <w:spacing w:before="300"/>
      </w:pPr>
      <w:r>
        <w:rPr>
          <w:color w:val="666666"/>
          <w:sz w:val="18"/>
          <w:szCs w:val="18"/>
        </w:rPr>
        <w:t xml:space="preserve">Версия документа: 1.1 от 2026-06-09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120"/>
      <w:outlineLvl w:val="0"/>
    </w:pPr>
    <w:rPr>
      <w:rFonts w:ascii="Arial" w:cs="Arial" w:eastAsia="Arial" w:hAnsi="Arial"/>
      <w:b/>
      <w:bCs/>
      <w:color w:val="1A1A1A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2026-06-12T04:38:11.200Z</dcterms:created>
  <dcterms:modified xsi:type="dcterms:W3CDTF">2026-06-12T04:38:11.200Z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